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1E833F">
      <w:pPr>
        <w:pStyle w:val="7"/>
        <w:adjustRightInd w:val="0"/>
        <w:snapToGrid w:val="0"/>
        <w:spacing w:line="360" w:lineRule="auto"/>
        <w:rPr>
          <w:rFonts w:hint="eastAsia" w:ascii="宋体" w:hAnsi="宋体" w:eastAsia="宋体" w:cs="宋体"/>
          <w:b/>
          <w:bCs/>
          <w:color w:val="auto"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36"/>
          <w:szCs w:val="36"/>
          <w:lang w:val="en-US" w:eastAsia="zh-CN"/>
        </w:rPr>
        <w:t>包1</w:t>
      </w:r>
      <w:r>
        <w:rPr>
          <w:rFonts w:hint="eastAsia" w:cs="宋体"/>
          <w:b/>
          <w:bCs/>
          <w:color w:val="auto"/>
          <w:sz w:val="36"/>
          <w:szCs w:val="36"/>
          <w:lang w:val="en-US" w:eastAsia="zh-CN"/>
        </w:rPr>
        <w:t>、</w:t>
      </w:r>
      <w:r>
        <w:rPr>
          <w:rFonts w:hint="default" w:ascii="宋体" w:hAnsi="宋体" w:eastAsia="宋体" w:cs="宋体"/>
          <w:b/>
          <w:bCs/>
          <w:color w:val="auto"/>
          <w:sz w:val="36"/>
          <w:szCs w:val="36"/>
          <w:lang w:val="en-US" w:eastAsia="zh-CN"/>
        </w:rPr>
        <w:t>过氧化氢低温甲醛环境浓度报警器</w:t>
      </w:r>
      <w:r>
        <w:rPr>
          <w:rFonts w:hint="eastAsia" w:ascii="宋体" w:hAnsi="宋体" w:eastAsia="宋体" w:cs="宋体"/>
          <w:b/>
          <w:bCs/>
          <w:color w:val="auto"/>
          <w:sz w:val="36"/>
          <w:szCs w:val="36"/>
          <w:lang w:val="en-US" w:eastAsia="zh-CN"/>
        </w:rPr>
        <w:t>技术参数</w:t>
      </w:r>
    </w:p>
    <w:p w14:paraId="0B4A08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宋体" w:hAnsi="宋体" w:eastAsia="宋体" w:cs="宋体"/>
          <w:b/>
          <w:bCs/>
          <w:color w:val="auto"/>
          <w:sz w:val="40"/>
          <w:szCs w:val="40"/>
          <w:lang w:val="en-US" w:eastAsia="zh-CN"/>
        </w:rPr>
      </w:pPr>
    </w:p>
    <w:p w14:paraId="27757167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对甲醛灭菌器和过氧华氢灭菌器的环境浓度实时监测报警；</w:t>
      </w:r>
    </w:p>
    <w:p w14:paraId="56DB748D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由报警控制主机和带显示功能的浓度检测报警器组成；</w:t>
      </w:r>
    </w:p>
    <w:p w14:paraId="0A087136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报警控制主机采用</w:t>
      </w:r>
      <w:r>
        <w:rPr>
          <w:rFonts w:hint="default" w:ascii="Arial" w:hAnsi="Arial" w:cs="Arial"/>
          <w:sz w:val="24"/>
          <w:szCs w:val="24"/>
          <w:lang w:val="en-US" w:eastAsia="zh-CN"/>
        </w:rPr>
        <w:t>≥</w:t>
      </w:r>
      <w:r>
        <w:rPr>
          <w:rFonts w:hint="eastAsia" w:ascii="Arial" w:hAnsi="Arial" w:cs="Arial"/>
          <w:sz w:val="24"/>
          <w:szCs w:val="24"/>
          <w:lang w:val="en-US" w:eastAsia="zh-CN"/>
        </w:rPr>
        <w:t>10</w:t>
      </w:r>
      <w:r>
        <w:rPr>
          <w:rFonts w:hint="eastAsia"/>
          <w:sz w:val="24"/>
          <w:szCs w:val="24"/>
          <w:lang w:val="en-US" w:eastAsia="zh-CN"/>
        </w:rPr>
        <w:t>寸彩色触摸屏操作，人性化全中文操作界面，内置时钟和参数自动储存功能；</w:t>
      </w:r>
    </w:p>
    <w:p w14:paraId="2CAE6E8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浓度监测报警器可实时显示出各通道的环境气体浓度值，通过无线传输方式将浓度数据传送给报警控制主机；</w:t>
      </w:r>
    </w:p>
    <w:p w14:paraId="7D3CA97D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报警控制主机对浓度数据存储和分析处理，可分别计算15分钟浓度加权平均值和8小时浓度加权平均值，超出限值后立即触发声光报警；</w:t>
      </w:r>
    </w:p>
    <w:p w14:paraId="3C218CA8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远程监控功能，通过报警控制主机最远可在</w:t>
      </w:r>
      <w:r>
        <w:rPr>
          <w:rFonts w:hint="default" w:ascii="Arial" w:hAnsi="Arial" w:cs="Arial"/>
          <w:sz w:val="24"/>
          <w:szCs w:val="24"/>
          <w:lang w:val="en-US" w:eastAsia="zh-CN"/>
        </w:rPr>
        <w:t>≥</w:t>
      </w:r>
      <w:r>
        <w:rPr>
          <w:rFonts w:hint="eastAsia"/>
          <w:sz w:val="24"/>
          <w:szCs w:val="24"/>
          <w:lang w:val="en-US" w:eastAsia="zh-CN"/>
        </w:rPr>
        <w:t>150米外对室内浓度进行实时监控；</w:t>
      </w:r>
    </w:p>
    <w:p w14:paraId="625F947B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报警记录功能，最多可记录</w:t>
      </w:r>
      <w:r>
        <w:rPr>
          <w:rFonts w:hint="default" w:ascii="Arial" w:hAnsi="Arial" w:cs="Arial"/>
          <w:sz w:val="24"/>
          <w:szCs w:val="24"/>
          <w:lang w:val="en-US" w:eastAsia="zh-CN"/>
        </w:rPr>
        <w:t>≥</w:t>
      </w:r>
      <w:r>
        <w:rPr>
          <w:rFonts w:hint="eastAsia"/>
          <w:sz w:val="24"/>
          <w:szCs w:val="24"/>
          <w:lang w:val="en-US" w:eastAsia="zh-CN"/>
        </w:rPr>
        <w:t>1000条报警，主机和报警器均可报警，双重报警更安全；</w:t>
      </w:r>
    </w:p>
    <w:p w14:paraId="3D17CC83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报警器为红外遥控操作，无需近距离，无需信号传输线缆；</w:t>
      </w:r>
    </w:p>
    <w:p w14:paraId="470C9C76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自检功能，报警器与报警控制主机都具有自检功能，协助用户及时发现故障；</w:t>
      </w:r>
    </w:p>
    <w:p w14:paraId="0FB2BE9C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hint="default" w:eastAsia="宋体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多级密码系统，防止用户误操作。</w:t>
      </w:r>
    </w:p>
    <w:p w14:paraId="79F94E96">
      <w:pPr>
        <w:rPr>
          <w:rFonts w:hint="eastAsia"/>
          <w:vertAlign w:val="baseline"/>
          <w:lang w:val="en-US" w:eastAsia="zh-CN"/>
        </w:rPr>
      </w:pPr>
      <w:r>
        <w:rPr>
          <w:rFonts w:hint="eastAsia"/>
          <w:vertAlign w:val="baseline"/>
          <w:lang w:val="en-US" w:eastAsia="zh-CN"/>
        </w:rPr>
        <w:br w:type="page"/>
      </w:r>
    </w:p>
    <w:p w14:paraId="7F18489B">
      <w:pPr>
        <w:spacing w:line="360" w:lineRule="auto"/>
        <w:jc w:val="both"/>
        <w:rPr>
          <w:rFonts w:hint="eastAsia" w:cs="宋体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vertAlign w:val="baseline"/>
          <w:lang w:val="en-US" w:eastAsia="zh-CN"/>
        </w:rPr>
        <w:t>包2、</w:t>
      </w:r>
      <w:r>
        <w:rPr>
          <w:rFonts w:hint="eastAsia" w:cs="宋体"/>
          <w:b/>
          <w:bCs/>
          <w:sz w:val="36"/>
          <w:szCs w:val="36"/>
          <w:lang w:val="en-US" w:eastAsia="zh-CN"/>
        </w:rPr>
        <w:t>骨创伤治疗仪技术参数</w:t>
      </w:r>
    </w:p>
    <w:p w14:paraId="6603B47B">
      <w:pPr>
        <w:spacing w:line="360" w:lineRule="auto"/>
        <w:rPr>
          <w:rFonts w:hint="eastAsia" w:cs="宋体"/>
          <w:lang w:val="en-US" w:eastAsia="zh-CN"/>
        </w:rPr>
      </w:pPr>
    </w:p>
    <w:p w14:paraId="3D64565C">
      <w:pPr>
        <w:spacing w:line="360" w:lineRule="auto"/>
        <w:rPr>
          <w:rFonts w:hint="eastAsia" w:ascii="宋体" w:hAnsi="宋体" w:eastAsia="宋体" w:cs="宋体"/>
        </w:rPr>
      </w:pPr>
      <w:r>
        <w:rPr>
          <w:rFonts w:hint="eastAsia" w:cs="宋体"/>
          <w:lang w:val="en-US" w:eastAsia="zh-CN"/>
        </w:rPr>
        <w:t>1、</w:t>
      </w:r>
      <w:r>
        <w:rPr>
          <w:rFonts w:hint="eastAsia" w:ascii="宋体" w:hAnsi="宋体" w:eastAsia="宋体" w:cs="宋体"/>
        </w:rPr>
        <w:t>微电脑输出控制，仪器自动定时，报警提示；</w:t>
      </w:r>
    </w:p>
    <w:p w14:paraId="10B4A3ED">
      <w:pPr>
        <w:spacing w:line="360" w:lineRule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2、额定输入电压AC220V、50Hz；</w:t>
      </w:r>
    </w:p>
    <w:p w14:paraId="299317AD">
      <w:pPr>
        <w:spacing w:line="360" w:lineRule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3、输出电流0mA～40mA；</w:t>
      </w:r>
    </w:p>
    <w:p w14:paraId="08F50A7C">
      <w:pPr>
        <w:spacing w:line="360" w:lineRule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4、整机功耗：≤70VA；</w:t>
      </w:r>
    </w:p>
    <w:p w14:paraId="7E5F9B0A">
      <w:pPr>
        <w:spacing w:line="360" w:lineRule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5、电疗、红外热疗相结合；</w:t>
      </w:r>
    </w:p>
    <w:p w14:paraId="568FA096">
      <w:pPr>
        <w:spacing w:line="360" w:lineRule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6、有低频、变频、混频、按摩、药导五种输出模式；</w:t>
      </w:r>
    </w:p>
    <w:p w14:paraId="66EE6019">
      <w:pPr>
        <w:spacing w:line="360" w:lineRule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7、 配有高档液晶屏幕，各种输出信息均有显示；</w:t>
      </w:r>
    </w:p>
    <w:p w14:paraId="4F5B8168">
      <w:pPr>
        <w:spacing w:line="360" w:lineRule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8、仪器输出频率：1Hz～20Hz；</w:t>
      </w:r>
    </w:p>
    <w:p w14:paraId="02B1F7A9">
      <w:pPr>
        <w:spacing w:line="360" w:lineRule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★9、脉冲最大输出开路电压峰值&lt;500V，皮肤单个脉冲最大输出能量≤300mJ；</w:t>
      </w:r>
    </w:p>
    <w:p w14:paraId="7558C0C7">
      <w:pPr>
        <w:spacing w:line="360" w:lineRule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10、（99种处方任选），改变了目前国内同类产品输出模式单一的现状；</w:t>
      </w:r>
    </w:p>
    <w:p w14:paraId="25B8B8A1">
      <w:pPr>
        <w:spacing w:line="360" w:lineRule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11、 红外温度16档可调，数字显示(加热温度0～42℃)；</w:t>
      </w:r>
    </w:p>
    <w:p w14:paraId="3F416703">
      <w:pPr>
        <w:spacing w:line="360" w:lineRule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12、脉冲宽度：2ms～4.5 ms；</w:t>
      </w:r>
    </w:p>
    <w:p w14:paraId="12189EEE">
      <w:pPr>
        <w:spacing w:line="360" w:lineRule="auto"/>
        <w:rPr>
          <w:rFonts w:hint="eastAsia" w:ascii="宋体" w:hAnsi="宋体" w:eastAsia="宋体" w:cs="宋体"/>
          <w:highlight w:val="yellow"/>
        </w:rPr>
      </w:pPr>
      <w:r>
        <w:rPr>
          <w:rFonts w:hint="eastAsia" w:ascii="宋体" w:hAnsi="宋体" w:eastAsia="宋体" w:cs="宋体"/>
        </w:rPr>
        <w:t>13、</w:t>
      </w:r>
      <w:r>
        <w:rPr>
          <w:rFonts w:hint="eastAsia" w:ascii="宋体" w:hAnsi="宋体" w:eastAsia="宋体" w:cs="宋体"/>
          <w:highlight w:val="none"/>
        </w:rPr>
        <w:t>工作报停时间1min-89min任选；</w:t>
      </w:r>
    </w:p>
    <w:p w14:paraId="3837C857">
      <w:pPr>
        <w:spacing w:line="360" w:lineRule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14、有药物导入功能，配有一次性骨伤专用中药电极贴片；</w:t>
      </w:r>
    </w:p>
    <w:p w14:paraId="36DE76DE">
      <w:pPr>
        <w:spacing w:line="360" w:lineRule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1</w:t>
      </w:r>
      <w:r>
        <w:rPr>
          <w:rFonts w:hint="eastAsia" w:cs="宋体"/>
          <w:lang w:val="en-US" w:eastAsia="zh-CN"/>
        </w:rPr>
        <w:t>5</w:t>
      </w:r>
      <w:r>
        <w:rPr>
          <w:rFonts w:hint="eastAsia" w:ascii="宋体" w:hAnsi="宋体" w:eastAsia="宋体" w:cs="宋体"/>
        </w:rPr>
        <w:t>、设置了自动关机、预制报停功能；</w:t>
      </w:r>
    </w:p>
    <w:p w14:paraId="621BCB86">
      <w:pPr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1</w:t>
      </w:r>
      <w:r>
        <w:rPr>
          <w:rFonts w:hint="eastAsia" w:cs="宋体"/>
          <w:lang w:val="en-US" w:eastAsia="zh-CN"/>
        </w:rPr>
        <w:t>6</w:t>
      </w:r>
      <w:r>
        <w:rPr>
          <w:rFonts w:hint="eastAsia" w:ascii="宋体" w:hAnsi="宋体" w:eastAsia="宋体" w:cs="宋体"/>
        </w:rPr>
        <w:t>、两个独立通道，推车型，底部装有万向轮，移动方便；</w:t>
      </w:r>
    </w:p>
    <w:p w14:paraId="7E6E4AA0">
      <w:pPr>
        <w:rPr>
          <w:rFonts w:hint="eastAsia" w:ascii="宋体" w:hAnsi="宋体" w:eastAsia="宋体" w:cs="宋体"/>
        </w:rPr>
      </w:pPr>
    </w:p>
    <w:p w14:paraId="3B00BC6B">
      <w:pPr>
        <w:rPr>
          <w:rFonts w:hint="eastAsia" w:ascii="宋体" w:hAnsi="宋体" w:eastAsia="宋体" w:cs="宋体"/>
        </w:rPr>
      </w:pPr>
    </w:p>
    <w:p w14:paraId="40D51751">
      <w:pPr>
        <w:rPr>
          <w:rFonts w:hint="eastAsia" w:ascii="宋体" w:hAnsi="宋体" w:eastAsia="宋体" w:cs="宋体"/>
        </w:rPr>
      </w:pPr>
    </w:p>
    <w:p w14:paraId="3B0DEBC3">
      <w:pPr>
        <w:rPr>
          <w:rFonts w:hint="eastAsia" w:ascii="宋体" w:hAnsi="宋体" w:eastAsia="宋体" w:cs="宋体"/>
        </w:rPr>
      </w:pPr>
    </w:p>
    <w:p w14:paraId="2294EAB2">
      <w:pPr>
        <w:rPr>
          <w:rFonts w:hint="eastAsia" w:ascii="宋体" w:hAnsi="宋体" w:eastAsia="宋体" w:cs="宋体"/>
        </w:rPr>
      </w:pPr>
    </w:p>
    <w:p w14:paraId="74F1D5FD">
      <w:pPr>
        <w:rPr>
          <w:rFonts w:hint="eastAsia" w:ascii="宋体" w:hAnsi="宋体" w:eastAsia="宋体" w:cs="宋体"/>
        </w:rPr>
      </w:pPr>
    </w:p>
    <w:p w14:paraId="72301087">
      <w:pPr>
        <w:rPr>
          <w:rFonts w:hint="eastAsia" w:ascii="宋体" w:hAnsi="宋体" w:eastAsia="宋体" w:cs="宋体"/>
        </w:rPr>
      </w:pPr>
    </w:p>
    <w:p w14:paraId="1252439C">
      <w:pPr>
        <w:rPr>
          <w:rFonts w:hint="eastAsia" w:ascii="宋体" w:hAnsi="宋体" w:eastAsia="宋体" w:cs="宋体"/>
        </w:rPr>
      </w:pPr>
    </w:p>
    <w:p w14:paraId="4344F220">
      <w:pPr>
        <w:rPr>
          <w:rFonts w:hint="eastAsia" w:ascii="宋体" w:hAnsi="宋体" w:eastAsia="宋体" w:cs="宋体"/>
        </w:rPr>
      </w:pPr>
    </w:p>
    <w:p w14:paraId="13AADDE2">
      <w:pPr>
        <w:rPr>
          <w:rFonts w:hint="eastAsia" w:ascii="宋体" w:hAnsi="宋体" w:eastAsia="宋体" w:cs="宋体"/>
        </w:rPr>
      </w:pPr>
    </w:p>
    <w:p w14:paraId="7943A576">
      <w:pPr>
        <w:rPr>
          <w:rFonts w:hint="eastAsia" w:ascii="宋体" w:hAnsi="宋体" w:eastAsia="宋体" w:cs="宋体"/>
        </w:rPr>
      </w:pPr>
    </w:p>
    <w:p w14:paraId="731B5FF8">
      <w:pPr>
        <w:rPr>
          <w:rFonts w:hint="eastAsia" w:ascii="宋体" w:hAnsi="宋体" w:eastAsia="宋体" w:cs="宋体"/>
        </w:rPr>
      </w:pPr>
    </w:p>
    <w:p w14:paraId="3A4C9CF2">
      <w:pPr>
        <w:rPr>
          <w:rFonts w:hint="eastAsia" w:ascii="宋体" w:hAnsi="宋体" w:eastAsia="宋体" w:cs="宋体"/>
        </w:rPr>
      </w:pPr>
    </w:p>
    <w:p w14:paraId="217F4D31">
      <w:pPr>
        <w:rPr>
          <w:rFonts w:hint="eastAsia" w:ascii="宋体" w:hAnsi="宋体" w:eastAsia="宋体" w:cs="宋体"/>
        </w:rPr>
      </w:pPr>
    </w:p>
    <w:p w14:paraId="57FAAD43">
      <w:pPr>
        <w:rPr>
          <w:rFonts w:hint="eastAsia" w:ascii="宋体" w:hAnsi="宋体" w:eastAsia="宋体" w:cs="宋体"/>
        </w:rPr>
      </w:pPr>
    </w:p>
    <w:p w14:paraId="67D9CB79">
      <w:pPr>
        <w:rPr>
          <w:rFonts w:hint="eastAsia" w:ascii="宋体" w:hAnsi="宋体" w:eastAsia="宋体" w:cs="宋体"/>
        </w:rPr>
      </w:pPr>
    </w:p>
    <w:p w14:paraId="45BEE3BE">
      <w:pPr>
        <w:rPr>
          <w:rFonts w:hint="eastAsia" w:ascii="宋体" w:hAnsi="宋体" w:eastAsia="宋体" w:cs="宋体"/>
        </w:rPr>
      </w:pPr>
    </w:p>
    <w:p w14:paraId="16381BC0">
      <w:pPr>
        <w:spacing w:line="360" w:lineRule="auto"/>
        <w:jc w:val="both"/>
        <w:rPr>
          <w:rFonts w:hint="eastAsia" w:ascii="宋体" w:hAnsi="宋体" w:eastAsia="宋体" w:cs="宋体"/>
          <w:b/>
          <w:bCs/>
          <w:color w:val="000000"/>
          <w:sz w:val="32"/>
          <w:szCs w:val="32"/>
          <w:highlight w:val="white"/>
        </w:rPr>
      </w:pPr>
      <w:r>
        <w:rPr>
          <w:rFonts w:hint="eastAsia"/>
          <w:b/>
          <w:bCs/>
          <w:sz w:val="36"/>
          <w:szCs w:val="36"/>
          <w:vertAlign w:val="baseline"/>
          <w:lang w:val="en-US" w:eastAsia="zh-CN"/>
        </w:rPr>
        <w:t>包</w:t>
      </w:r>
      <w:r>
        <w:rPr>
          <w:rFonts w:hint="eastAsia" w:ascii="宋体" w:hAnsi="宋体" w:eastAsia="宋体" w:cs="宋体"/>
          <w:b/>
          <w:bCs/>
          <w:sz w:val="36"/>
          <w:szCs w:val="36"/>
          <w:vertAlign w:val="baseline"/>
          <w:lang w:val="en-US" w:eastAsia="zh-CN"/>
        </w:rPr>
        <w:t>3、双目间接检眼镜技术参数</w:t>
      </w:r>
    </w:p>
    <w:p w14:paraId="0D0E851B">
      <w:pPr>
        <w:widowControl w:val="0"/>
        <w:numPr>
          <w:ilvl w:val="0"/>
          <w:numId w:val="0"/>
        </w:numPr>
        <w:spacing w:line="380" w:lineRule="exact"/>
        <w:jc w:val="both"/>
        <w:rPr>
          <w:rFonts w:hint="eastAsia" w:ascii="宋体" w:hAnsi="宋体"/>
          <w:b/>
          <w:bCs/>
          <w:color w:val="000000"/>
          <w:sz w:val="24"/>
          <w:highlight w:val="white"/>
        </w:rPr>
      </w:pPr>
    </w:p>
    <w:p w14:paraId="4D80FF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424" w:firstLineChars="177"/>
        <w:textAlignment w:val="auto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1、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型式：头戴式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/双目观察</w:t>
      </w:r>
    </w:p>
    <w:p w14:paraId="727605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424" w:firstLineChars="177"/>
        <w:textAlignment w:val="auto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2、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光源：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LED</w:t>
      </w:r>
    </w:p>
    <w:p w14:paraId="3E9F26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424" w:firstLineChars="177"/>
        <w:textAlignment w:val="auto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3、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目镜2D： 工作距离500mm（被检眼角膜到双目间接检眼镜出光处）</w:t>
      </w:r>
    </w:p>
    <w:p w14:paraId="4E2AD64B">
      <w:pPr>
        <w:widowControl w:val="0"/>
        <w:numPr>
          <w:ilvl w:val="0"/>
          <w:numId w:val="0"/>
        </w:numPr>
        <w:spacing w:line="360" w:lineRule="auto"/>
        <w:ind w:leftChars="200"/>
        <w:jc w:val="both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whit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white"/>
          <w:lang w:val="en-US" w:eastAsia="zh-CN"/>
        </w:rPr>
        <w:t>4、两种工作模式可任意切换：充电电池供电（无线模式）或连接交流电源（有线模式）</w:t>
      </w:r>
    </w:p>
    <w:p w14:paraId="74E6D0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424" w:firstLineChars="177"/>
        <w:textAlignment w:val="auto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5、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瞳距调节：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52mm~75mm</w:t>
      </w:r>
    </w:p>
    <w:p w14:paraId="1769AC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424" w:firstLineChars="177"/>
        <w:textAlignment w:val="auto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6、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视场直径：≥1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0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0mm</w:t>
      </w:r>
    </w:p>
    <w:p w14:paraId="3DAF58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424" w:firstLineChars="177"/>
        <w:textAlignment w:val="auto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7、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最大照明光斑直径：≥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60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mm</w:t>
      </w:r>
    </w:p>
    <w:p w14:paraId="620032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424" w:firstLineChars="177"/>
        <w:textAlignment w:val="auto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8、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照明光斑上下调节角度：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≥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±4°</w:t>
      </w:r>
    </w:p>
    <w:p w14:paraId="7C199E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424" w:firstLineChars="177"/>
        <w:textAlignment w:val="auto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9、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头箍调节：5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12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mm～64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mm</w:t>
      </w:r>
      <w:bookmarkStart w:id="0" w:name="_GoBack"/>
      <w:bookmarkEnd w:id="0"/>
    </w:p>
    <w:p w14:paraId="598F2430">
      <w:pPr>
        <w:keepNext w:val="0"/>
        <w:keepLines w:val="0"/>
        <w:pageBreakBefore w:val="0"/>
        <w:widowControl w:val="0"/>
        <w:tabs>
          <w:tab w:val="left" w:pos="0"/>
          <w:tab w:val="left" w:pos="420"/>
        </w:tabs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left="726" w:leftChars="221" w:hanging="196" w:hangingChars="82"/>
        <w:textAlignment w:val="auto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10、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显色指数：≥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90</w:t>
      </w:r>
    </w:p>
    <w:p w14:paraId="44B6C8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424" w:firstLineChars="177"/>
        <w:textAlignment w:val="auto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11、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光阑调节： 大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（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60mm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）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、中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(40mm)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、小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(20mm)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三种</w:t>
      </w:r>
    </w:p>
    <w:p w14:paraId="668196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424" w:firstLineChars="177"/>
        <w:textAlignment w:val="auto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12、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滤片调节： 钴蓝、无赤（绿色）、弥散</w:t>
      </w:r>
    </w:p>
    <w:p w14:paraId="5F2E3F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424" w:firstLineChars="177"/>
        <w:textAlignment w:val="auto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13、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照明亮度：无级可调</w:t>
      </w:r>
    </w:p>
    <w:p w14:paraId="36ED64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424" w:firstLineChars="177"/>
        <w:textAlignment w:val="auto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14、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电量指示：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</w:rPr>
        <w:t>配有4个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电量指示灯，用于表示电池电量。</w:t>
      </w:r>
    </w:p>
    <w:p w14:paraId="78920784">
      <w:pPr>
        <w:rPr>
          <w:rFonts w:hint="default" w:cs="宋体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仿宋">
    <w:altName w:val="仿宋"/>
    <w:panose1 w:val="02010600040001010101"/>
    <w:charset w:val="7A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entury Gothic">
    <w:altName w:val="Segoe Print"/>
    <w:panose1 w:val="020B0502020002020204"/>
    <w:charset w:val="00"/>
    <w:family w:val="auto"/>
    <w:pitch w:val="default"/>
    <w:sig w:usb0="00000000" w:usb1="00000000" w:usb2="00000000" w:usb3="00000000" w:csb0="2000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76CEB93"/>
    <w:multiLevelType w:val="singleLevel"/>
    <w:tmpl w:val="A76CEB93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CC72AA"/>
    <w:rsid w:val="01890ABE"/>
    <w:rsid w:val="0A992346"/>
    <w:rsid w:val="0CC723AB"/>
    <w:rsid w:val="27BA5D13"/>
    <w:rsid w:val="3C2B663A"/>
    <w:rsid w:val="4B207B25"/>
    <w:rsid w:val="58BF2F34"/>
    <w:rsid w:val="6CCC7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宋体" w:hAnsi="宋体" w:eastAsia="宋体" w:cs="宋体"/>
      <w:sz w:val="24"/>
      <w:szCs w:val="22"/>
      <w:lang w:val="zh-CN" w:eastAsia="zh-CN" w:bidi="zh-CN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1"/>
    <w:pPr>
      <w:spacing w:line="360" w:lineRule="auto"/>
      <w:ind w:firstLine="643" w:firstLineChars="200"/>
    </w:pPr>
    <w:rPr>
      <w:szCs w:val="24"/>
    </w:rPr>
  </w:style>
  <w:style w:type="paragraph" w:styleId="3">
    <w:name w:val="Body Text First Indent"/>
    <w:basedOn w:val="2"/>
    <w:qFormat/>
    <w:uiPriority w:val="0"/>
    <w:pPr>
      <w:ind w:firstLine="420" w:firstLineChars="100"/>
    </w:p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表格"/>
    <w:basedOn w:val="1"/>
    <w:qFormat/>
    <w:uiPriority w:val="0"/>
    <w:pPr>
      <w:spacing w:line="400" w:lineRule="exact"/>
    </w:pPr>
    <w:rPr>
      <w:sz w:val="24"/>
    </w:rPr>
  </w:style>
  <w:style w:type="paragraph" w:customStyle="1" w:styleId="8">
    <w:name w:val="列出段落1"/>
    <w:basedOn w:val="1"/>
    <w:qFormat/>
    <w:uiPriority w:val="0"/>
    <w:pPr>
      <w:widowControl/>
      <w:ind w:left="720"/>
      <w:contextualSpacing/>
      <w:jc w:val="left"/>
    </w:pPr>
    <w:rPr>
      <w:rFonts w:ascii="Calibri" w:hAnsi="Calibri"/>
      <w:kern w:val="0"/>
      <w:sz w:val="24"/>
      <w:szCs w:val="24"/>
      <w:lang w:eastAsia="en-US" w:bidi="en-US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931</Words>
  <Characters>1044</Characters>
  <Lines>0</Lines>
  <Paragraphs>0</Paragraphs>
  <TotalTime>10</TotalTime>
  <ScaleCrop>false</ScaleCrop>
  <LinksUpToDate>false</LinksUpToDate>
  <CharactersWithSpaces>1050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2025-09-22T00:59:00Z</dcterms:created>
  <dc:creator>亮凉量良俩</dc:creator>
  <cp:lastModifiedBy>亮凉量良俩</cp:lastModifiedBy>
  <dcterms:modified xsi:type="dcterms:W3CDTF">2026-02-26T07:41:26Z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A4C23CDC25224FF69E388B21F041CBA3_13</vt:lpwstr>
  </property>
  <property fmtid="{D5CDD505-2E9C-101B-9397-08002B2CF9AE}" pid="4" name="KSOTemplateDocerSaveRecord">
    <vt:lpwstr>eyJoZGlkIjoiZjE1ODkxZjc0OTZkNmVlNDhkMjkxYTVjZGFhOWJlODkiLCJ1c2VySWQiOiIyNTk3MjE2MTEifQ==</vt:lpwstr>
  </property>
</Properties>
</file>